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Times New Roman" w:hAnsi="Times New Roman" w:eastAsia="方正小标宋简体"/>
          <w:color w:val="auto"/>
          <w:szCs w:val="32"/>
          <w:lang w:eastAsia="zh-CN"/>
        </w:rPr>
      </w:pPr>
      <w:r>
        <w:rPr>
          <w:rFonts w:hint="eastAsia" w:ascii="Times New Roman" w:hAnsi="Times New Roman" w:eastAsia="方正小标宋简体"/>
          <w:color w:val="auto"/>
          <w:szCs w:val="32"/>
        </w:rPr>
        <w:t>第</w:t>
      </w:r>
      <w:r>
        <w:rPr>
          <w:rFonts w:hint="eastAsia" w:ascii="Times New Roman" w:hAnsi="Times New Roman" w:eastAsia="方正小标宋简体"/>
          <w:color w:val="auto"/>
          <w:szCs w:val="32"/>
          <w:lang w:eastAsia="zh-CN"/>
        </w:rPr>
        <w:t>五</w:t>
      </w:r>
      <w:r>
        <w:rPr>
          <w:rFonts w:hint="eastAsia" w:ascii="Times New Roman" w:hAnsi="Times New Roman" w:eastAsia="方正小标宋简体"/>
          <w:color w:val="auto"/>
          <w:szCs w:val="32"/>
        </w:rPr>
        <w:t>类</w:t>
      </w:r>
      <w:r>
        <w:rPr>
          <w:rFonts w:hint="eastAsia" w:ascii="Times New Roman" w:hAnsi="Times New Roman" w:eastAsia="方正小标宋简体"/>
          <w:color w:val="auto"/>
          <w:szCs w:val="32"/>
          <w:lang w:val="en-US" w:eastAsia="zh-CN"/>
        </w:rPr>
        <w:t xml:space="preserve"> </w:t>
      </w:r>
      <w:r>
        <w:rPr>
          <w:rFonts w:hint="eastAsia" w:ascii="Times New Roman" w:hAnsi="Times New Roman" w:eastAsia="方正小标宋简体"/>
          <w:color w:val="auto"/>
          <w:szCs w:val="32"/>
        </w:rPr>
        <w:t>食品经营许可现场核查</w:t>
      </w:r>
      <w:r>
        <w:rPr>
          <w:rFonts w:hint="eastAsia" w:ascii="Times New Roman" w:hAnsi="Times New Roman" w:eastAsia="方正小标宋简体"/>
          <w:color w:val="auto"/>
          <w:szCs w:val="32"/>
          <w:lang w:eastAsia="zh-CN"/>
        </w:rPr>
        <w:t>内容</w:t>
      </w:r>
    </w:p>
    <w:p>
      <w:pPr>
        <w:spacing w:line="580" w:lineRule="exact"/>
        <w:jc w:val="center"/>
        <w:rPr>
          <w:rFonts w:hint="eastAsia" w:ascii="Times New Roman" w:hAnsi="Times New Roman" w:eastAsia="楷体"/>
          <w:color w:val="auto"/>
          <w:szCs w:val="32"/>
        </w:rPr>
      </w:pPr>
      <w:r>
        <w:rPr>
          <w:rFonts w:hint="eastAsia" w:ascii="Times New Roman" w:hAnsi="Times New Roman" w:eastAsia="楷体"/>
          <w:color w:val="auto"/>
          <w:szCs w:val="32"/>
        </w:rPr>
        <w:t>（适用于从事食品经营</w:t>
      </w:r>
      <w:r>
        <w:rPr>
          <w:rFonts w:hint="eastAsia" w:ascii="Times New Roman" w:hAnsi="Times New Roman" w:eastAsia="楷体"/>
          <w:color w:val="auto"/>
          <w:szCs w:val="32"/>
          <w:lang w:eastAsia="zh-CN"/>
        </w:rPr>
        <w:t>管理</w:t>
      </w:r>
      <w:r>
        <w:rPr>
          <w:rFonts w:hint="eastAsia" w:ascii="Times New Roman" w:hAnsi="Times New Roman" w:eastAsia="楷体"/>
          <w:color w:val="auto"/>
          <w:szCs w:val="32"/>
        </w:rPr>
        <w:t>的经营者）</w:t>
      </w:r>
    </w:p>
    <w:p>
      <w:pPr>
        <w:snapToGrid w:val="0"/>
        <w:spacing w:line="300" w:lineRule="exact"/>
      </w:pPr>
    </w:p>
    <w:tbl>
      <w:tblPr>
        <w:tblStyle w:val="5"/>
        <w:tblW w:w="9621" w:type="dxa"/>
        <w:tblInd w:w="-54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5"/>
        <w:gridCol w:w="48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4815" w:type="dxa"/>
            <w:vAlign w:val="center"/>
          </w:tcPr>
          <w:p>
            <w:pPr>
              <w:snapToGrid w:val="0"/>
              <w:spacing w:line="300" w:lineRule="exact"/>
              <w:jc w:val="both"/>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4"/>
              </w:rPr>
              <w:t>经营者名称：</w:t>
            </w:r>
            <w:r>
              <w:rPr>
                <w:rFonts w:hint="eastAsia" w:ascii="仿宋_GB2312" w:hAnsi="仿宋_GB2312" w:cs="仿宋_GB2312"/>
                <w:color w:val="auto"/>
                <w:sz w:val="21"/>
                <w:szCs w:val="21"/>
                <w:vertAlign w:val="baseline"/>
                <w:lang w:val="en-US" w:eastAsia="zh-CN"/>
              </w:rPr>
              <w:t xml:space="preserve"> </w:t>
            </w:r>
          </w:p>
        </w:tc>
        <w:tc>
          <w:tcPr>
            <w:tcW w:w="4806" w:type="dxa"/>
            <w:vAlign w:val="center"/>
          </w:tcPr>
          <w:p>
            <w:pPr>
              <w:snapToGrid w:val="0"/>
              <w:spacing w:line="300" w:lineRule="exact"/>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4"/>
              </w:rPr>
              <w:t>地址：</w:t>
            </w:r>
            <w:r>
              <w:rPr>
                <w:rFonts w:hint="eastAsia" w:ascii="仿宋_GB2312" w:hAnsi="仿宋_GB2312" w:cs="仿宋_GB2312"/>
                <w:color w:val="auto"/>
                <w:sz w:val="21"/>
                <w:szCs w:val="21"/>
                <w:vertAlign w:val="baseli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15" w:type="dxa"/>
            <w:vAlign w:val="center"/>
          </w:tcPr>
          <w:p>
            <w:pPr>
              <w:snapToGrid w:val="0"/>
              <w:spacing w:line="300" w:lineRule="exact"/>
              <w:jc w:val="both"/>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4"/>
              </w:rPr>
              <w:t xml:space="preserve">申请经营业态: </w:t>
            </w:r>
            <w:r>
              <w:rPr>
                <w:rFonts w:hint="eastAsia" w:ascii="仿宋_GB2312" w:hAnsi="仿宋_GB2312" w:cs="仿宋_GB2312"/>
                <w:color w:val="auto"/>
                <w:sz w:val="21"/>
                <w:szCs w:val="21"/>
                <w:vertAlign w:val="baseline"/>
                <w:lang w:val="en-US" w:eastAsia="zh-CN"/>
              </w:rPr>
              <w:t xml:space="preserve"> </w:t>
            </w:r>
          </w:p>
        </w:tc>
        <w:tc>
          <w:tcPr>
            <w:tcW w:w="4806" w:type="dxa"/>
            <w:vAlign w:val="center"/>
          </w:tcPr>
          <w:p>
            <w:pPr>
              <w:snapToGrid w:val="0"/>
              <w:spacing w:line="300" w:lineRule="exact"/>
              <w:jc w:val="both"/>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4"/>
              </w:rPr>
              <w:t>申请经营项目：</w:t>
            </w:r>
            <w:r>
              <w:rPr>
                <w:rFonts w:hint="eastAsia" w:ascii="仿宋_GB2312" w:hAnsi="仿宋_GB2312" w:cs="仿宋_GB2312"/>
                <w:color w:val="auto"/>
                <w:sz w:val="21"/>
                <w:szCs w:val="21"/>
                <w:vertAlign w:val="baseline"/>
                <w:lang w:val="en-US" w:eastAsia="zh-CN"/>
              </w:rPr>
              <w:t xml:space="preserve"> </w:t>
            </w:r>
            <w:bookmarkStart w:id="0" w:name="_GoBack"/>
            <w:bookmarkEnd w:id="0"/>
          </w:p>
        </w:tc>
      </w:tr>
    </w:tbl>
    <w:p>
      <w:pPr>
        <w:snapToGrid w:val="0"/>
        <w:spacing w:line="300" w:lineRule="exact"/>
        <w:rPr>
          <w:rFonts w:hint="eastAsia" w:ascii="Times New Roman" w:hAnsi="Times New Roman" w:cs="仿宋_GB2312"/>
          <w:color w:val="auto"/>
          <w:sz w:val="24"/>
        </w:rPr>
      </w:pPr>
    </w:p>
    <w:tbl>
      <w:tblPr>
        <w:tblStyle w:val="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5462"/>
        <w:gridCol w:w="523"/>
        <w:gridCol w:w="763"/>
        <w:gridCol w:w="94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1226" w:type="dxa"/>
            <w:vMerge w:val="restart"/>
            <w:noWrap w:val="0"/>
            <w:vAlign w:val="center"/>
          </w:tcPr>
          <w:p>
            <w:pPr>
              <w:spacing w:line="360" w:lineRule="exact"/>
              <w:jc w:val="center"/>
              <w:rPr>
                <w:rFonts w:hint="eastAsia" w:ascii="Times New Roman" w:hAnsi="Times New Roman" w:eastAsia="黑体" w:cs="黑体"/>
                <w:b w:val="0"/>
                <w:bCs/>
                <w:color w:val="auto"/>
                <w:sz w:val="24"/>
              </w:rPr>
            </w:pPr>
            <w:r>
              <w:rPr>
                <w:rFonts w:hint="eastAsia" w:ascii="Times New Roman" w:hAnsi="Times New Roman" w:eastAsia="黑体" w:cs="黑体"/>
                <w:b w:val="0"/>
                <w:bCs/>
                <w:color w:val="auto"/>
                <w:sz w:val="24"/>
              </w:rPr>
              <w:t>核查内容</w:t>
            </w:r>
          </w:p>
        </w:tc>
        <w:tc>
          <w:tcPr>
            <w:tcW w:w="5462" w:type="dxa"/>
            <w:vMerge w:val="restart"/>
            <w:noWrap w:val="0"/>
            <w:vAlign w:val="center"/>
          </w:tcPr>
          <w:p>
            <w:pPr>
              <w:spacing w:line="360" w:lineRule="exact"/>
              <w:jc w:val="center"/>
              <w:rPr>
                <w:rFonts w:hint="eastAsia" w:ascii="Times New Roman" w:hAnsi="Times New Roman" w:eastAsia="黑体" w:cs="黑体"/>
                <w:b w:val="0"/>
                <w:bCs/>
                <w:color w:val="auto"/>
                <w:sz w:val="24"/>
              </w:rPr>
            </w:pPr>
            <w:r>
              <w:rPr>
                <w:rFonts w:hint="eastAsia" w:ascii="Times New Roman" w:hAnsi="Times New Roman" w:eastAsia="黑体" w:cs="黑体"/>
                <w:b w:val="0"/>
                <w:bCs/>
                <w:color w:val="auto"/>
                <w:sz w:val="24"/>
              </w:rPr>
              <w:t>核查和评价标准</w:t>
            </w:r>
          </w:p>
        </w:tc>
        <w:tc>
          <w:tcPr>
            <w:tcW w:w="523" w:type="dxa"/>
            <w:vMerge w:val="restart"/>
            <w:noWrap w:val="0"/>
            <w:vAlign w:val="center"/>
          </w:tcPr>
          <w:p>
            <w:pPr>
              <w:spacing w:line="360" w:lineRule="exact"/>
              <w:jc w:val="center"/>
              <w:rPr>
                <w:rFonts w:hint="eastAsia" w:ascii="Times New Roman" w:hAnsi="Times New Roman" w:eastAsia="黑体" w:cs="黑体"/>
                <w:b w:val="0"/>
                <w:bCs/>
                <w:color w:val="auto"/>
                <w:sz w:val="24"/>
              </w:rPr>
            </w:pPr>
            <w:r>
              <w:rPr>
                <w:rFonts w:hint="eastAsia" w:ascii="Times New Roman" w:hAnsi="Times New Roman" w:eastAsia="黑体" w:cs="黑体"/>
                <w:b w:val="0"/>
                <w:bCs/>
                <w:color w:val="auto"/>
                <w:sz w:val="24"/>
                <w:lang w:eastAsia="zh-CN"/>
              </w:rPr>
              <w:t>序</w:t>
            </w:r>
            <w:r>
              <w:rPr>
                <w:rFonts w:hint="eastAsia" w:ascii="Times New Roman" w:hAnsi="Times New Roman" w:eastAsia="黑体" w:cs="黑体"/>
                <w:b w:val="0"/>
                <w:bCs/>
                <w:color w:val="auto"/>
                <w:sz w:val="24"/>
              </w:rPr>
              <w:t>号</w:t>
            </w:r>
          </w:p>
        </w:tc>
        <w:tc>
          <w:tcPr>
            <w:tcW w:w="2428" w:type="dxa"/>
            <w:gridSpan w:val="3"/>
            <w:noWrap w:val="0"/>
            <w:vAlign w:val="center"/>
          </w:tcPr>
          <w:p>
            <w:pPr>
              <w:spacing w:line="360" w:lineRule="exact"/>
              <w:jc w:val="center"/>
              <w:rPr>
                <w:rFonts w:hint="eastAsia" w:ascii="Times New Roman" w:hAnsi="Times New Roman" w:eastAsia="黑体" w:cs="黑体"/>
                <w:b w:val="0"/>
                <w:bCs/>
                <w:color w:val="auto"/>
                <w:sz w:val="24"/>
              </w:rPr>
            </w:pPr>
            <w:r>
              <w:rPr>
                <w:rFonts w:hint="eastAsia" w:ascii="Times New Roman" w:hAnsi="Times New Roman" w:eastAsia="黑体" w:cs="黑体"/>
                <w:b w:val="0"/>
                <w:bCs/>
                <w:color w:val="auto"/>
                <w:sz w:val="24"/>
              </w:rPr>
              <w:t>结果判定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1226" w:type="dxa"/>
            <w:vMerge w:val="continue"/>
            <w:noWrap w:val="0"/>
            <w:vAlign w:val="center"/>
          </w:tcPr>
          <w:p>
            <w:pPr>
              <w:spacing w:line="360" w:lineRule="exact"/>
              <w:rPr>
                <w:rFonts w:hint="eastAsia" w:ascii="Times New Roman" w:hAnsi="Times New Roman" w:eastAsia="黑体" w:cs="黑体"/>
                <w:b w:val="0"/>
                <w:bCs/>
                <w:color w:val="auto"/>
                <w:sz w:val="24"/>
              </w:rPr>
            </w:pPr>
          </w:p>
        </w:tc>
        <w:tc>
          <w:tcPr>
            <w:tcW w:w="5462" w:type="dxa"/>
            <w:vMerge w:val="continue"/>
            <w:noWrap w:val="0"/>
            <w:vAlign w:val="center"/>
          </w:tcPr>
          <w:p>
            <w:pPr>
              <w:spacing w:line="360" w:lineRule="exact"/>
              <w:rPr>
                <w:rFonts w:hint="eastAsia" w:ascii="Times New Roman" w:hAnsi="Times New Roman" w:eastAsia="黑体" w:cs="黑体"/>
                <w:b w:val="0"/>
                <w:bCs/>
                <w:color w:val="auto"/>
                <w:sz w:val="24"/>
              </w:rPr>
            </w:pPr>
          </w:p>
        </w:tc>
        <w:tc>
          <w:tcPr>
            <w:tcW w:w="523" w:type="dxa"/>
            <w:vMerge w:val="continue"/>
            <w:noWrap w:val="0"/>
            <w:vAlign w:val="center"/>
          </w:tcPr>
          <w:p>
            <w:pPr>
              <w:spacing w:line="360" w:lineRule="exact"/>
              <w:jc w:val="center"/>
              <w:rPr>
                <w:rFonts w:hint="eastAsia" w:ascii="Times New Roman" w:hAnsi="Times New Roman" w:eastAsia="黑体" w:cs="黑体"/>
                <w:b w:val="0"/>
                <w:bCs/>
                <w:color w:val="auto"/>
                <w:sz w:val="24"/>
              </w:rPr>
            </w:pPr>
          </w:p>
        </w:tc>
        <w:tc>
          <w:tcPr>
            <w:tcW w:w="763" w:type="dxa"/>
            <w:noWrap w:val="0"/>
            <w:vAlign w:val="center"/>
          </w:tcPr>
          <w:p>
            <w:pPr>
              <w:spacing w:line="360" w:lineRule="exact"/>
              <w:jc w:val="center"/>
              <w:rPr>
                <w:rFonts w:hint="eastAsia" w:ascii="Times New Roman" w:hAnsi="Times New Roman" w:eastAsia="黑体" w:cs="黑体"/>
                <w:b w:val="0"/>
                <w:bCs/>
                <w:color w:val="auto"/>
                <w:sz w:val="24"/>
              </w:rPr>
            </w:pPr>
            <w:r>
              <w:rPr>
                <w:rFonts w:hint="eastAsia" w:ascii="Times New Roman" w:hAnsi="Times New Roman" w:eastAsia="黑体" w:cs="黑体"/>
                <w:b w:val="0"/>
                <w:bCs/>
                <w:color w:val="auto"/>
                <w:sz w:val="24"/>
              </w:rPr>
              <w:t>符合</w:t>
            </w:r>
          </w:p>
        </w:tc>
        <w:tc>
          <w:tcPr>
            <w:tcW w:w="945" w:type="dxa"/>
            <w:noWrap w:val="0"/>
            <w:vAlign w:val="center"/>
          </w:tcPr>
          <w:p>
            <w:pPr>
              <w:spacing w:line="360" w:lineRule="exact"/>
              <w:jc w:val="center"/>
              <w:rPr>
                <w:rFonts w:hint="eastAsia" w:ascii="Times New Roman" w:hAnsi="Times New Roman" w:eastAsia="黑体" w:cs="黑体"/>
                <w:b w:val="0"/>
                <w:bCs/>
                <w:color w:val="auto"/>
                <w:sz w:val="24"/>
              </w:rPr>
            </w:pPr>
            <w:r>
              <w:rPr>
                <w:rFonts w:hint="eastAsia" w:ascii="Times New Roman" w:hAnsi="Times New Roman" w:eastAsia="黑体" w:cs="黑体"/>
                <w:b w:val="0"/>
                <w:bCs/>
                <w:color w:val="auto"/>
                <w:sz w:val="24"/>
              </w:rPr>
              <w:t>不符合</w:t>
            </w:r>
          </w:p>
        </w:tc>
        <w:tc>
          <w:tcPr>
            <w:tcW w:w="720" w:type="dxa"/>
            <w:noWrap w:val="0"/>
            <w:vAlign w:val="center"/>
          </w:tcPr>
          <w:p>
            <w:pPr>
              <w:spacing w:line="360" w:lineRule="exact"/>
              <w:rPr>
                <w:rFonts w:hint="eastAsia" w:ascii="Times New Roman" w:hAnsi="Times New Roman" w:eastAsia="黑体" w:cs="黑体"/>
                <w:b w:val="0"/>
                <w:bCs/>
                <w:color w:val="auto"/>
                <w:sz w:val="24"/>
              </w:rPr>
            </w:pPr>
            <w:r>
              <w:rPr>
                <w:rFonts w:hint="eastAsia" w:ascii="Times New Roman" w:hAnsi="Times New Roman" w:eastAsia="黑体" w:cs="黑体"/>
                <w:b w:val="0"/>
                <w:bCs/>
                <w:color w:val="auto"/>
                <w:sz w:val="24"/>
              </w:rPr>
              <w:t>合理缺项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226" w:type="dxa"/>
            <w:noWrap w:val="0"/>
            <w:vAlign w:val="center"/>
          </w:tcPr>
          <w:p>
            <w:pPr>
              <w:spacing w:line="360" w:lineRule="exact"/>
              <w:rPr>
                <w:rFonts w:hint="eastAsia" w:ascii="Times New Roman" w:hAnsi="Times New Roman" w:eastAsia="仿宋_GB2312" w:cs="仿宋_GB2312"/>
                <w:color w:val="auto"/>
                <w:sz w:val="24"/>
                <w:lang w:eastAsia="zh-CN"/>
              </w:rPr>
            </w:pPr>
            <w:r>
              <w:rPr>
                <w:rFonts w:hint="eastAsia" w:ascii="Times New Roman" w:hAnsi="Times New Roman" w:cs="仿宋_GB2312"/>
                <w:color w:val="auto"/>
                <w:sz w:val="24"/>
                <w:lang w:val="en-US" w:eastAsia="zh-CN"/>
              </w:rPr>
              <w:t>1.</w:t>
            </w:r>
            <w:r>
              <w:rPr>
                <w:rFonts w:hint="eastAsia" w:ascii="Times New Roman" w:hAnsi="Times New Roman" w:cs="仿宋_GB2312"/>
                <w:color w:val="auto"/>
                <w:sz w:val="24"/>
                <w:lang w:eastAsia="zh-CN"/>
              </w:rPr>
              <w:t>机构</w:t>
            </w: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zh-CN"/>
              </w:rPr>
              <w:t>设置独立的食品安全管理部门和组织机构。</w:t>
            </w:r>
          </w:p>
        </w:tc>
        <w:tc>
          <w:tcPr>
            <w:tcW w:w="523" w:type="dxa"/>
            <w:noWrap w:val="0"/>
            <w:vAlign w:val="center"/>
          </w:tcPr>
          <w:p>
            <w:pPr>
              <w:spacing w:line="360" w:lineRule="exact"/>
              <w:jc w:val="center"/>
              <w:rPr>
                <w:rFonts w:hint="eastAsia"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1</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5" w:hRule="atLeast"/>
          <w:jc w:val="center"/>
        </w:trPr>
        <w:tc>
          <w:tcPr>
            <w:tcW w:w="1226" w:type="dxa"/>
            <w:vMerge w:val="restart"/>
            <w:noWrap w:val="0"/>
            <w:vAlign w:val="center"/>
          </w:tcPr>
          <w:p>
            <w:pPr>
              <w:spacing w:line="360" w:lineRule="exact"/>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2.管理制度</w:t>
            </w:r>
          </w:p>
        </w:tc>
        <w:tc>
          <w:tcPr>
            <w:tcW w:w="5462" w:type="dxa"/>
            <w:noWrap w:val="0"/>
            <w:vAlign w:val="center"/>
          </w:tcPr>
          <w:p>
            <w:pPr>
              <w:spacing w:line="360" w:lineRule="exact"/>
              <w:rPr>
                <w:rFonts w:hint="eastAsia" w:ascii="Times New Roman" w:hAnsi="Times New Roman"/>
                <w:lang w:val="zh-CN"/>
              </w:rPr>
            </w:pPr>
            <w:r>
              <w:rPr>
                <w:rFonts w:hint="eastAsia" w:ascii="Times New Roman" w:hAnsi="Times New Roman" w:cs="仿宋_GB2312"/>
                <w:b w:val="0"/>
                <w:bCs/>
                <w:color w:val="auto"/>
                <w:sz w:val="24"/>
                <w:szCs w:val="24"/>
                <w:lang w:val="en-US" w:eastAsia="zh-CN"/>
              </w:rPr>
              <w:t>制定食品安全风险管控清单，建立</w:t>
            </w:r>
            <w:r>
              <w:rPr>
                <w:rFonts w:hint="eastAsia" w:ascii="Times New Roman" w:hAnsi="Times New Roman" w:eastAsia="仿宋_GB2312" w:cs="仿宋_GB2312"/>
                <w:b w:val="0"/>
                <w:bCs/>
                <w:color w:val="auto"/>
                <w:sz w:val="24"/>
                <w:szCs w:val="24"/>
                <w:lang w:val="en-US" w:eastAsia="zh-CN"/>
              </w:rPr>
              <w:t>日管控、周排查、月调度</w:t>
            </w:r>
            <w:r>
              <w:rPr>
                <w:rFonts w:hint="eastAsia" w:ascii="Times New Roman" w:hAnsi="Times New Roman" w:cs="仿宋_GB2312"/>
                <w:b w:val="0"/>
                <w:bCs/>
                <w:color w:val="auto"/>
                <w:sz w:val="24"/>
                <w:szCs w:val="24"/>
                <w:lang w:val="en-US" w:eastAsia="zh-CN"/>
              </w:rPr>
              <w:t>工作</w:t>
            </w:r>
            <w:r>
              <w:rPr>
                <w:rFonts w:hint="eastAsia" w:ascii="Times New Roman" w:hAnsi="Times New Roman" w:eastAsia="仿宋_GB2312" w:cs="仿宋_GB2312"/>
                <w:b w:val="0"/>
                <w:bCs/>
                <w:color w:val="auto"/>
                <w:sz w:val="24"/>
                <w:szCs w:val="24"/>
                <w:lang w:val="en-US" w:eastAsia="zh-CN"/>
              </w:rPr>
              <w:t>制度，</w:t>
            </w:r>
            <w:r>
              <w:rPr>
                <w:rFonts w:hint="eastAsia" w:ascii="Times New Roman" w:hAnsi="Times New Roman" w:cs="仿宋_GB2312"/>
                <w:b w:val="0"/>
                <w:bCs/>
                <w:color w:val="auto"/>
                <w:sz w:val="24"/>
                <w:szCs w:val="24"/>
                <w:lang w:eastAsia="zh-CN"/>
              </w:rPr>
              <w:t>有</w:t>
            </w:r>
            <w:r>
              <w:rPr>
                <w:rFonts w:hint="eastAsia" w:ascii="Times New Roman" w:hAnsi="Times New Roman" w:eastAsia="仿宋_GB2312" w:cs="仿宋_GB2312"/>
                <w:b w:val="0"/>
                <w:bCs/>
                <w:color w:val="auto"/>
                <w:sz w:val="24"/>
                <w:szCs w:val="24"/>
              </w:rPr>
              <w:t>人员培训和考核</w:t>
            </w:r>
            <w:r>
              <w:rPr>
                <w:rFonts w:hint="eastAsia" w:ascii="Times New Roman" w:hAnsi="Times New Roman" w:cs="仿宋_GB2312"/>
                <w:b w:val="0"/>
                <w:bCs/>
                <w:color w:val="auto"/>
                <w:sz w:val="24"/>
                <w:szCs w:val="24"/>
                <w:lang w:eastAsia="zh-CN"/>
              </w:rPr>
              <w:t>、进货查验</w:t>
            </w:r>
            <w:r>
              <w:rPr>
                <w:rFonts w:hint="eastAsia" w:ascii="Times New Roman" w:hAnsi="Times New Roman" w:eastAsia="仿宋_GB2312" w:cs="仿宋_GB2312"/>
                <w:b w:val="0"/>
                <w:bCs/>
                <w:color w:val="auto"/>
                <w:sz w:val="24"/>
                <w:szCs w:val="24"/>
              </w:rPr>
              <w:t>制度，</w:t>
            </w:r>
            <w:r>
              <w:rPr>
                <w:rFonts w:hint="eastAsia" w:ascii="Times New Roman" w:hAnsi="Times New Roman" w:cs="仿宋_GB2312"/>
                <w:b w:val="0"/>
                <w:bCs/>
                <w:color w:val="auto"/>
                <w:sz w:val="24"/>
                <w:szCs w:val="24"/>
                <w:lang w:val="en-US" w:eastAsia="zh-CN"/>
              </w:rPr>
              <w:t>有</w:t>
            </w:r>
            <w:r>
              <w:rPr>
                <w:rFonts w:hint="eastAsia" w:ascii="Times New Roman" w:hAnsi="Times New Roman" w:eastAsia="仿宋_GB2312" w:cs="仿宋_GB2312"/>
                <w:b w:val="0"/>
                <w:bCs/>
                <w:color w:val="auto"/>
                <w:sz w:val="24"/>
                <w:szCs w:val="24"/>
                <w:lang w:val="en-US" w:eastAsia="zh-CN"/>
              </w:rPr>
              <w:t>食品安全事故处置方案</w:t>
            </w:r>
            <w:r>
              <w:rPr>
                <w:rFonts w:hint="eastAsia" w:ascii="Times New Roman" w:hAnsi="Times New Roman" w:cs="仿宋_GB2312"/>
                <w:b w:val="0"/>
                <w:bCs/>
                <w:color w:val="auto"/>
                <w:sz w:val="24"/>
                <w:szCs w:val="24"/>
                <w:lang w:val="en-US" w:eastAsia="zh-CN"/>
              </w:rPr>
              <w:t>，建立</w:t>
            </w:r>
            <w:r>
              <w:rPr>
                <w:rFonts w:hint="eastAsia" w:ascii="Times New Roman" w:hAnsi="Times New Roman" w:cs="仿宋_GB2312"/>
                <w:color w:val="auto"/>
                <w:sz w:val="24"/>
                <w:lang w:val="zh-CN"/>
              </w:rPr>
              <w:t>原料供货商管理评价制度以及退出机制。</w:t>
            </w:r>
          </w:p>
        </w:tc>
        <w:tc>
          <w:tcPr>
            <w:tcW w:w="523" w:type="dxa"/>
            <w:noWrap w:val="0"/>
            <w:vAlign w:val="center"/>
          </w:tcPr>
          <w:p>
            <w:pPr>
              <w:spacing w:line="360" w:lineRule="exact"/>
              <w:jc w:val="center"/>
              <w:rPr>
                <w:rFonts w:hint="eastAsia"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2</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226" w:type="dxa"/>
            <w:vMerge w:val="continue"/>
            <w:noWrap w:val="0"/>
            <w:vAlign w:val="center"/>
          </w:tcPr>
          <w:p>
            <w:pPr>
              <w:spacing w:line="360" w:lineRule="exact"/>
              <w:rPr>
                <w:rFonts w:hint="eastAsia" w:ascii="Times New Roman" w:hAnsi="Times New Roman" w:cs="仿宋_GB2312"/>
                <w:color w:val="auto"/>
                <w:sz w:val="24"/>
                <w:lang w:val="en-US" w:eastAsia="zh-CN"/>
              </w:rPr>
            </w:pP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zh-CN"/>
              </w:rPr>
              <w:t>食品销售连锁企业总部、餐饮服务连锁企业总部有与连锁管理运营模式相适应的中央厨房管理、配送中心管理、门店巡查、内控等制度。</w:t>
            </w:r>
          </w:p>
        </w:tc>
        <w:tc>
          <w:tcPr>
            <w:tcW w:w="523" w:type="dxa"/>
            <w:noWrap w:val="0"/>
            <w:vAlign w:val="center"/>
          </w:tcPr>
          <w:p>
            <w:pPr>
              <w:spacing w:line="360" w:lineRule="exact"/>
              <w:jc w:val="center"/>
              <w:rPr>
                <w:rFonts w:hint="eastAsia"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3</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5" w:hRule="atLeast"/>
          <w:jc w:val="center"/>
        </w:trPr>
        <w:tc>
          <w:tcPr>
            <w:tcW w:w="1226" w:type="dxa"/>
            <w:vMerge w:val="continue"/>
            <w:noWrap w:val="0"/>
            <w:vAlign w:val="center"/>
          </w:tcPr>
          <w:p>
            <w:pPr>
              <w:spacing w:line="360" w:lineRule="exact"/>
              <w:rPr>
                <w:rFonts w:hint="eastAsia" w:ascii="Times New Roman" w:hAnsi="Times New Roman" w:cs="仿宋_GB2312"/>
                <w:color w:val="auto"/>
                <w:sz w:val="24"/>
                <w:lang w:val="en-US" w:eastAsia="zh-CN"/>
              </w:rPr>
            </w:pP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zh-CN"/>
              </w:rPr>
              <w:t>食品销售连锁企业总部、餐饮服务连锁企业总部有对中央厨房、配送中心、门店选址及设备布局和工艺流程的要求。</w:t>
            </w:r>
          </w:p>
        </w:tc>
        <w:tc>
          <w:tcPr>
            <w:tcW w:w="523" w:type="dxa"/>
            <w:noWrap w:val="0"/>
            <w:vAlign w:val="center"/>
          </w:tcPr>
          <w:p>
            <w:pPr>
              <w:spacing w:line="360" w:lineRule="exact"/>
              <w:jc w:val="center"/>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4</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0" w:hRule="atLeast"/>
          <w:jc w:val="center"/>
        </w:trPr>
        <w:tc>
          <w:tcPr>
            <w:tcW w:w="1226" w:type="dxa"/>
            <w:vMerge w:val="continue"/>
            <w:noWrap w:val="0"/>
            <w:vAlign w:val="center"/>
          </w:tcPr>
          <w:p>
            <w:pPr>
              <w:spacing w:line="360" w:lineRule="exact"/>
              <w:rPr>
                <w:rFonts w:hint="eastAsia" w:ascii="Times New Roman" w:hAnsi="Times New Roman" w:cs="仿宋_GB2312"/>
                <w:color w:val="auto"/>
                <w:sz w:val="24"/>
                <w:lang w:val="en-US" w:eastAsia="zh-CN"/>
              </w:rPr>
            </w:pP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zh-CN"/>
              </w:rPr>
              <w:t>食品销售连锁企业总部、餐饮服务连锁企业总部有对中央厨房、配送中心、门店的设备或者设施要求，包括消毒、更衣、盥洗、采光、照明、通风、防腐、防尘、防蝇、防鼠、防虫、洗涤以及处理废水、存放垃圾和废弃物的设备或者设施要求等制度。</w:t>
            </w:r>
          </w:p>
        </w:tc>
        <w:tc>
          <w:tcPr>
            <w:tcW w:w="523" w:type="dxa"/>
            <w:noWrap w:val="0"/>
            <w:vAlign w:val="center"/>
          </w:tcPr>
          <w:p>
            <w:pPr>
              <w:spacing w:line="360" w:lineRule="exact"/>
              <w:jc w:val="center"/>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5</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5" w:hRule="atLeast"/>
          <w:jc w:val="center"/>
        </w:trPr>
        <w:tc>
          <w:tcPr>
            <w:tcW w:w="1226" w:type="dxa"/>
            <w:vMerge w:val="continue"/>
            <w:noWrap w:val="0"/>
            <w:vAlign w:val="center"/>
          </w:tcPr>
          <w:p>
            <w:pPr>
              <w:spacing w:line="360" w:lineRule="exact"/>
              <w:rPr>
                <w:rFonts w:hint="eastAsia" w:ascii="Times New Roman" w:hAnsi="Times New Roman" w:cs="仿宋_GB2312"/>
                <w:color w:val="auto"/>
                <w:sz w:val="24"/>
                <w:lang w:val="en-US" w:eastAsia="zh-CN"/>
              </w:rPr>
            </w:pP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zh-CN"/>
              </w:rPr>
              <w:t>餐饮服务管理企业设立与食品经营相关的分公司的，应具有对分公司统一的人员管理、食品安全管理等制度，确保分公司具有与其经营规模相适应数量的人员以及食品安全管理能力。</w:t>
            </w:r>
          </w:p>
        </w:tc>
        <w:tc>
          <w:tcPr>
            <w:tcW w:w="523" w:type="dxa"/>
            <w:noWrap w:val="0"/>
            <w:vAlign w:val="center"/>
          </w:tcPr>
          <w:p>
            <w:pPr>
              <w:spacing w:line="360" w:lineRule="exact"/>
              <w:jc w:val="center"/>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6</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8" w:hRule="atLeast"/>
          <w:jc w:val="center"/>
        </w:trPr>
        <w:tc>
          <w:tcPr>
            <w:tcW w:w="1226" w:type="dxa"/>
            <w:vMerge w:val="continue"/>
            <w:noWrap w:val="0"/>
            <w:vAlign w:val="center"/>
          </w:tcPr>
          <w:p>
            <w:pPr>
              <w:spacing w:line="360" w:lineRule="exact"/>
              <w:rPr>
                <w:rFonts w:hint="eastAsia" w:ascii="Times New Roman" w:hAnsi="Times New Roman" w:cs="仿宋_GB2312"/>
                <w:color w:val="auto"/>
                <w:sz w:val="24"/>
                <w:lang w:val="en-US" w:eastAsia="zh-CN"/>
              </w:rPr>
            </w:pP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zh-CN"/>
              </w:rPr>
              <w:t>餐饮服务管理企业设立与食品经营相关的子公司、绝对控股其他企业的，应具有对子公司、绝对控股的其他企业的人员管理、食品安全管理、品牌管理等制度。</w:t>
            </w:r>
          </w:p>
        </w:tc>
        <w:tc>
          <w:tcPr>
            <w:tcW w:w="523" w:type="dxa"/>
            <w:noWrap w:val="0"/>
            <w:vAlign w:val="center"/>
          </w:tcPr>
          <w:p>
            <w:pPr>
              <w:spacing w:line="360" w:lineRule="exact"/>
              <w:jc w:val="center"/>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7</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1226" w:type="dxa"/>
            <w:noWrap w:val="0"/>
            <w:vAlign w:val="center"/>
          </w:tcPr>
          <w:p>
            <w:pPr>
              <w:spacing w:line="360" w:lineRule="exact"/>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3.仓库</w:t>
            </w: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zh-CN"/>
              </w:rPr>
              <w:t>食品销售连锁企业总部和餐饮服务连锁企业总部具有与配送食品品种和数量相适应的食品仓库。</w:t>
            </w:r>
          </w:p>
        </w:tc>
        <w:tc>
          <w:tcPr>
            <w:tcW w:w="523" w:type="dxa"/>
            <w:noWrap w:val="0"/>
            <w:vAlign w:val="center"/>
          </w:tcPr>
          <w:p>
            <w:pPr>
              <w:spacing w:line="360" w:lineRule="exact"/>
              <w:jc w:val="center"/>
              <w:rPr>
                <w:rFonts w:hint="eastAsia"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8</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0" w:hRule="atLeast"/>
          <w:jc w:val="center"/>
        </w:trPr>
        <w:tc>
          <w:tcPr>
            <w:tcW w:w="1226" w:type="dxa"/>
            <w:noWrap w:val="0"/>
            <w:vAlign w:val="center"/>
          </w:tcPr>
          <w:p>
            <w:pPr>
              <w:spacing w:line="360" w:lineRule="exact"/>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4.设备设施</w:t>
            </w: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zh-CN"/>
              </w:rPr>
              <w:t>食品销售连锁企业总部、餐饮服务连锁企业总部具有与配送食品品种和数量相适应的运输工具和保温、冷藏（冻）等设备设施。</w:t>
            </w:r>
          </w:p>
        </w:tc>
        <w:tc>
          <w:tcPr>
            <w:tcW w:w="523" w:type="dxa"/>
            <w:noWrap w:val="0"/>
            <w:vAlign w:val="center"/>
          </w:tcPr>
          <w:p>
            <w:pPr>
              <w:spacing w:line="360" w:lineRule="exact"/>
              <w:jc w:val="center"/>
              <w:rPr>
                <w:rFonts w:hint="eastAsia"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9</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5" w:hRule="atLeast"/>
          <w:jc w:val="center"/>
        </w:trPr>
        <w:tc>
          <w:tcPr>
            <w:tcW w:w="1226" w:type="dxa"/>
            <w:noWrap w:val="0"/>
            <w:vAlign w:val="center"/>
          </w:tcPr>
          <w:p>
            <w:pPr>
              <w:spacing w:line="360" w:lineRule="exact"/>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5.食品安全</w:t>
            </w:r>
            <w:r>
              <w:rPr>
                <w:rFonts w:hint="eastAsia" w:ascii="Times New Roman" w:hAnsi="Times New Roman" w:cs="仿宋_GB2312"/>
                <w:color w:val="auto"/>
                <w:sz w:val="24"/>
                <w:lang w:val="zh-CN"/>
              </w:rPr>
              <w:t>追溯体系</w:t>
            </w: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zh-CN"/>
              </w:rPr>
              <w:t>食品销售连锁企业总部、餐饮服务连锁企业总部建立食品采购、配送管理台账，内容包括：供货商信息、产品采购信息、配送点信息（名称、地址、联系方式以及配送食品的品种等）、配送清单（单位名称、配送对象、配送日期、品种、数量、生产日期或批号、发货人、收货人）等。</w:t>
            </w:r>
          </w:p>
        </w:tc>
        <w:tc>
          <w:tcPr>
            <w:tcW w:w="523" w:type="dxa"/>
            <w:noWrap w:val="0"/>
            <w:vAlign w:val="center"/>
          </w:tcPr>
          <w:p>
            <w:pPr>
              <w:spacing w:line="360" w:lineRule="exact"/>
              <w:jc w:val="center"/>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10</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0" w:hRule="atLeast"/>
          <w:jc w:val="center"/>
        </w:trPr>
        <w:tc>
          <w:tcPr>
            <w:tcW w:w="1226" w:type="dxa"/>
            <w:noWrap w:val="0"/>
            <w:vAlign w:val="center"/>
          </w:tcPr>
          <w:p>
            <w:pPr>
              <w:spacing w:line="360" w:lineRule="exact"/>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6.食品销售、餐饮服务</w:t>
            </w:r>
          </w:p>
        </w:tc>
        <w:tc>
          <w:tcPr>
            <w:tcW w:w="5462" w:type="dxa"/>
            <w:noWrap w:val="0"/>
            <w:vAlign w:val="center"/>
          </w:tcPr>
          <w:p>
            <w:pPr>
              <w:spacing w:line="360" w:lineRule="exact"/>
              <w:rPr>
                <w:rFonts w:hint="eastAsia" w:ascii="Times New Roman" w:hAnsi="Times New Roman" w:cs="仿宋_GB2312"/>
                <w:color w:val="auto"/>
                <w:sz w:val="24"/>
                <w:lang w:val="zh-CN"/>
              </w:rPr>
            </w:pPr>
            <w:r>
              <w:rPr>
                <w:rFonts w:hint="eastAsia" w:ascii="Times New Roman" w:hAnsi="Times New Roman" w:cs="仿宋_GB2312"/>
                <w:color w:val="auto"/>
                <w:sz w:val="24"/>
                <w:lang w:val="en-US" w:eastAsia="zh-CN"/>
              </w:rPr>
              <w:t>申请食品销售、餐饮服务经营项目的，应同时符合相应经营项目核查内容的规定。</w:t>
            </w:r>
          </w:p>
        </w:tc>
        <w:tc>
          <w:tcPr>
            <w:tcW w:w="523" w:type="dxa"/>
            <w:noWrap w:val="0"/>
            <w:vAlign w:val="center"/>
          </w:tcPr>
          <w:p>
            <w:pPr>
              <w:spacing w:line="360" w:lineRule="exact"/>
              <w:jc w:val="center"/>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11</w:t>
            </w:r>
          </w:p>
        </w:tc>
        <w:tc>
          <w:tcPr>
            <w:tcW w:w="763" w:type="dxa"/>
            <w:noWrap w:val="0"/>
            <w:vAlign w:val="center"/>
          </w:tcPr>
          <w:p>
            <w:pPr>
              <w:spacing w:line="360" w:lineRule="exact"/>
              <w:jc w:val="center"/>
              <w:rPr>
                <w:rFonts w:hint="eastAsia" w:ascii="Times New Roman" w:hAnsi="Times New Roman" w:cs="仿宋_GB2312"/>
                <w:color w:val="auto"/>
                <w:sz w:val="24"/>
              </w:rPr>
            </w:pPr>
          </w:p>
        </w:tc>
        <w:tc>
          <w:tcPr>
            <w:tcW w:w="945" w:type="dxa"/>
            <w:noWrap w:val="0"/>
            <w:vAlign w:val="center"/>
          </w:tcPr>
          <w:p>
            <w:pPr>
              <w:spacing w:line="360" w:lineRule="exact"/>
              <w:jc w:val="center"/>
              <w:rPr>
                <w:rFonts w:hint="eastAsia" w:ascii="Times New Roman" w:hAnsi="Times New Roman" w:cs="仿宋_GB2312"/>
                <w:color w:val="auto"/>
                <w:sz w:val="24"/>
              </w:rPr>
            </w:pPr>
          </w:p>
        </w:tc>
        <w:tc>
          <w:tcPr>
            <w:tcW w:w="720" w:type="dxa"/>
            <w:noWrap w:val="0"/>
            <w:vAlign w:val="center"/>
          </w:tcPr>
          <w:p>
            <w:pPr>
              <w:spacing w:line="360" w:lineRule="exact"/>
              <w:jc w:val="center"/>
              <w:rPr>
                <w:rFonts w:hint="eastAsia" w:ascii="Times New Roman" w:hAnsi="Times New Roman"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0" w:hRule="atLeast"/>
          <w:jc w:val="center"/>
        </w:trPr>
        <w:tc>
          <w:tcPr>
            <w:tcW w:w="9639" w:type="dxa"/>
            <w:gridSpan w:val="6"/>
            <w:noWrap w:val="0"/>
            <w:vAlign w:val="center"/>
          </w:tcPr>
          <w:p>
            <w:pPr>
              <w:widowControl/>
              <w:spacing w:line="340" w:lineRule="exact"/>
              <w:jc w:val="center"/>
              <w:textAlignment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核查意见</w:t>
            </w:r>
          </w:p>
          <w:p>
            <w:pPr>
              <w:widowControl/>
              <w:spacing w:line="340" w:lineRule="exact"/>
              <w:ind w:firstLine="480"/>
              <w:jc w:val="center"/>
              <w:textAlignment w:val="center"/>
              <w:rPr>
                <w:rFonts w:hint="eastAsia" w:ascii="仿宋_GB2312" w:hAnsi="仿宋_GB2312" w:eastAsia="仿宋_GB2312" w:cs="仿宋_GB2312"/>
                <w:b/>
                <w:sz w:val="28"/>
                <w:szCs w:val="28"/>
              </w:rPr>
            </w:pPr>
          </w:p>
          <w:p>
            <w:pPr>
              <w:widowControl/>
              <w:spacing w:line="340" w:lineRule="exact"/>
              <w:ind w:firstLine="480" w:firstLineChars="200"/>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局（所）核查人员</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根据《中华人民共和国食品安全法》等有关法律法规的规定，对该单位的食品经营场所进行了现场核查，</w:t>
            </w:r>
            <w:r>
              <w:rPr>
                <w:rFonts w:hint="eastAsia" w:ascii="仿宋_GB2312" w:hAnsi="仿宋_GB2312" w:eastAsia="仿宋_GB2312" w:cs="仿宋_GB2312"/>
                <w:b/>
                <w:bCs/>
                <w:sz w:val="24"/>
                <w:szCs w:val="24"/>
              </w:rPr>
              <w:t>核查意见如下：</w:t>
            </w:r>
          </w:p>
          <w:p>
            <w:pPr>
              <w:widowControl/>
              <w:spacing w:line="340" w:lineRule="exact"/>
              <w:ind w:firstLine="482" w:firstLineChars="200"/>
              <w:textAlignment w:val="center"/>
              <w:rPr>
                <w:rFonts w:hint="eastAsia" w:ascii="仿宋_GB2312" w:hAnsi="仿宋_GB2312" w:eastAsia="仿宋_GB2312" w:cs="仿宋_GB2312"/>
                <w:b/>
                <w:bCs/>
                <w:sz w:val="24"/>
                <w:szCs w:val="24"/>
              </w:rPr>
            </w:pPr>
          </w:p>
          <w:p>
            <w:pPr>
              <w:widowControl/>
              <w:spacing w:line="340" w:lineRule="exact"/>
              <w:ind w:firstLine="482" w:firstLineChars="200"/>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□通过　</w:t>
            </w:r>
            <w:r>
              <w:rPr>
                <w:rFonts w:hint="eastAsia" w:ascii="仿宋_GB2312" w:hAnsi="仿宋_GB2312" w:eastAsia="仿宋_GB2312" w:cs="仿宋_GB2312"/>
                <w:bCs/>
                <w:sz w:val="24"/>
                <w:szCs w:val="24"/>
              </w:rPr>
              <w:t xml:space="preserve">     现场核查符合要求。</w:t>
            </w:r>
          </w:p>
          <w:p>
            <w:pPr>
              <w:widowControl/>
              <w:spacing w:line="340" w:lineRule="exact"/>
              <w:ind w:firstLine="482" w:firstLineChars="200"/>
              <w:textAlignment w:val="center"/>
              <w:rPr>
                <w:rFonts w:hint="eastAsia" w:ascii="仿宋_GB2312" w:hAnsi="仿宋_GB2312" w:eastAsia="仿宋_GB2312" w:cs="仿宋_GB2312"/>
                <w:bCs/>
                <w:sz w:val="24"/>
                <w:szCs w:val="24"/>
              </w:rPr>
            </w:pPr>
            <w:r>
              <w:rPr>
                <w:rFonts w:hint="eastAsia" w:ascii="仿宋_GB2312" w:hAnsi="仿宋_GB2312" w:eastAsia="仿宋_GB2312" w:cs="仿宋_GB2312"/>
                <w:b/>
                <w:bCs/>
                <w:sz w:val="24"/>
                <w:szCs w:val="24"/>
              </w:rPr>
              <w:t xml:space="preserve">□限期整改  </w:t>
            </w:r>
            <w:r>
              <w:rPr>
                <w:rFonts w:hint="eastAsia" w:ascii="仿宋_GB2312" w:hAnsi="仿宋_GB2312" w:eastAsia="仿宋_GB2312" w:cs="仿宋_GB2312"/>
                <w:bCs/>
                <w:sz w:val="24"/>
                <w:szCs w:val="24"/>
              </w:rPr>
              <w:t xml:space="preserve"> 对照核查内容和评价标准限期进行整改完善。</w:t>
            </w:r>
          </w:p>
          <w:p>
            <w:pPr>
              <w:widowControl/>
              <w:spacing w:line="340" w:lineRule="exact"/>
              <w:ind w:firstLine="482" w:firstLineChars="200"/>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 xml:space="preserve">□不予通过   </w:t>
            </w:r>
            <w:r>
              <w:rPr>
                <w:rFonts w:hint="eastAsia" w:ascii="仿宋_GB2312" w:hAnsi="仿宋_GB2312" w:eastAsia="仿宋_GB2312" w:cs="仿宋_GB2312"/>
                <w:bCs/>
                <w:sz w:val="24"/>
                <w:szCs w:val="24"/>
              </w:rPr>
              <w:t>退回整改后再行申请。</w:t>
            </w:r>
          </w:p>
          <w:p>
            <w:pPr>
              <w:widowControl/>
              <w:spacing w:line="340" w:lineRule="exact"/>
              <w:ind w:firstLine="480" w:firstLineChars="200"/>
              <w:rPr>
                <w:rFonts w:hint="eastAsia" w:ascii="仿宋_GB2312" w:hAnsi="仿宋_GB2312" w:eastAsia="仿宋_GB2312" w:cs="仿宋_GB2312"/>
                <w:sz w:val="24"/>
                <w:szCs w:val="24"/>
              </w:rPr>
            </w:pPr>
          </w:p>
          <w:p>
            <w:pPr>
              <w:widowControl/>
              <w:spacing w:line="340" w:lineRule="exact"/>
              <w:ind w:left="0" w:leftChars="0" w:firstLine="319" w:firstLineChars="133"/>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 xml:space="preserve">核查人员签字：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年     月     日</w:t>
            </w:r>
          </w:p>
          <w:p>
            <w:pPr>
              <w:widowControl/>
              <w:spacing w:line="340" w:lineRule="exact"/>
              <w:ind w:firstLine="480" w:firstLineChars="200"/>
              <w:rPr>
                <w:rFonts w:hint="eastAsia" w:ascii="仿宋_GB2312" w:hAnsi="仿宋_GB2312" w:eastAsia="仿宋_GB2312" w:cs="仿宋_GB2312"/>
                <w:sz w:val="24"/>
                <w:szCs w:val="24"/>
                <w:u w:val="single"/>
              </w:rPr>
            </w:pPr>
          </w:p>
          <w:p>
            <w:pPr>
              <w:spacing w:line="360" w:lineRule="exact"/>
              <w:ind w:left="0" w:leftChars="0" w:firstLine="0" w:firstLineChars="0"/>
              <w:jc w:val="center"/>
              <w:rPr>
                <w:rFonts w:hint="eastAsia" w:ascii="Times New Roman" w:hAnsi="Times New Roman" w:cs="仿宋_GB2312"/>
                <w:color w:val="auto"/>
                <w:sz w:val="24"/>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食品经营单位负责人签字：</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 xml:space="preserve">  </w:t>
            </w:r>
            <w:r>
              <w:rPr>
                <w:rFonts w:hint="eastAsia" w:ascii="仿宋_GB2312" w:hAnsi="仿宋_GB2312" w:cs="仿宋_GB2312"/>
                <w:sz w:val="24"/>
                <w:szCs w:val="24"/>
                <w:lang w:val="en-US" w:eastAsia="zh-CN"/>
              </w:rPr>
              <w:t xml:space="preserve"> </w:t>
            </w:r>
            <w:r>
              <w:rPr>
                <w:rFonts w:hint="eastAsia" w:ascii="仿宋_GB2312" w:hAnsi="仿宋_GB2312" w:eastAsia="仿宋_GB2312" w:cs="仿宋_GB2312"/>
                <w:sz w:val="24"/>
                <w:szCs w:val="24"/>
              </w:rPr>
              <w:t>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6C0060"/>
    <w:rsid w:val="07F223AB"/>
    <w:rsid w:val="084970C1"/>
    <w:rsid w:val="4E6C0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pPr>
    <w:rPr>
      <w:rFonts w:ascii="仿宋" w:hAnsi="仿宋" w:eastAsia="仿宋"/>
      <w:sz w:val="30"/>
      <w:szCs w:val="30"/>
    </w:rPr>
  </w:style>
  <w:style w:type="paragraph" w:styleId="3">
    <w:name w:val="Body Text"/>
    <w:basedOn w:val="1"/>
    <w:qFormat/>
    <w:uiPriority w:val="0"/>
    <w:rPr>
      <w:rFonts w:hint="eastAsia" w:ascii="Times New Roman" w:hAnsi="Times New Roman" w:eastAsia="宋体" w:cs="Times New Roman"/>
      <w:sz w:val="32"/>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855</Words>
  <Characters>863</Characters>
  <Lines>0</Lines>
  <Paragraphs>0</Paragraphs>
  <TotalTime>0</TotalTime>
  <ScaleCrop>false</ScaleCrop>
  <LinksUpToDate>false</LinksUpToDate>
  <CharactersWithSpaces>957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2025-03-05T10:44:00Z</dcterms:created>
  <dc:creator>刘力康</dc:creator>
  <cp:lastModifiedBy>邹清</cp:lastModifiedBy>
  <dcterms:modified xsi:type="dcterms:W3CDTF">2025-04-02T01:27:13Z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E22FDD2487174DBE8F3ACADF7A4E935B_11</vt:lpwstr>
  </property>
  <property fmtid="{D5CDD505-2E9C-101B-9397-08002B2CF9AE}" pid="4" name="KSOTemplateDocerSaveRecord">
    <vt:lpwstr>eyJoZGlkIjoiMjcwZThkNTY2OTUyN2Y2YzA1NWE5NTg2YjcwOWNlZDgiLCJ1c2VySWQiOiI2MzE2NDAyOTIifQ==</vt:lpwstr>
  </property>
</Properties>
</file>